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08" w:rsidRPr="00EA21DA" w:rsidRDefault="00C35108" w:rsidP="00C35108">
      <w:pPr>
        <w:widowControl/>
        <w:spacing w:before="100" w:beforeAutospacing="1" w:after="100" w:afterAutospacing="1"/>
        <w:jc w:val="center"/>
        <w:outlineLvl w:val="0"/>
        <w:rPr>
          <w:rFonts w:ascii="Calibri" w:eastAsia="新細明體" w:hAnsi="Calibri" w:cs="Times New Roman"/>
        </w:rPr>
      </w:pPr>
      <w:bookmarkStart w:id="0" w:name="07"/>
      <w:bookmarkEnd w:id="0"/>
      <w:r w:rsidRPr="00EA21DA">
        <w:rPr>
          <w:rFonts w:ascii="Times New Roman" w:eastAsia="標楷體" w:hAnsi="標楷體" w:cs="新細明體" w:hint="eastAsia"/>
          <w:b/>
          <w:bCs/>
          <w:color w:val="993300"/>
          <w:kern w:val="36"/>
          <w:sz w:val="36"/>
          <w:szCs w:val="36"/>
        </w:rPr>
        <w:t>物理治療師如何幫助動作發展遲緩兒童</w:t>
      </w:r>
      <w:r w:rsidRPr="00EA21DA">
        <w:rPr>
          <w:rFonts w:ascii="Times New Roman" w:eastAsia="標楷體" w:hAnsi="Times New Roman" w:cs="新細明體"/>
          <w:b/>
          <w:bCs/>
          <w:color w:val="993300"/>
          <w:kern w:val="36"/>
          <w:sz w:val="36"/>
          <w:szCs w:val="36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馬偕紀念醫院復健科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物理治療師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 </w:t>
      </w:r>
      <w:r w:rsidRPr="00EA21DA">
        <w:rPr>
          <w:rFonts w:ascii="Times New Roman" w:eastAsia="標楷體" w:hAnsi="標楷體" w:cs="新細明體" w:hint="eastAsia"/>
          <w:color w:val="000080"/>
          <w:kern w:val="0"/>
          <w:sz w:val="27"/>
          <w:szCs w:val="27"/>
        </w:rPr>
        <w:t>張慰萱</w:t>
      </w:r>
      <w:r w:rsidRPr="00EA21DA">
        <w:rPr>
          <w:rFonts w:ascii="Times New Roman" w:eastAsia="標楷體" w:hAnsi="Times New Roman" w:cs="新細明體"/>
          <w:color w:val="000080"/>
          <w:kern w:val="0"/>
          <w:sz w:val="27"/>
          <w:szCs w:val="27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jc w:val="center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 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關鍵字：物理治療、動作發展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§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動作發展的定義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firstLine="319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隨著年齡增長，動作、姿勢跟著發生改變的過程。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319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決定動作發展的因素不只是中樞神經系統而已，身體其它構造的改變也會影響動作發展，例如骨骼肌肉系統、心肺呼吸系統、消化代謝系統、環境因素等。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§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常見動作發展遲緩兒童的種類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tabs>
          <w:tab w:val="num" w:pos="840"/>
        </w:tabs>
        <w:spacing w:before="100" w:beforeAutospacing="1" w:after="100" w:afterAutospacing="1"/>
        <w:ind w:left="840" w:hanging="360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1.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神經系統障礙：腦性麻痺、周邊神經病變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tabs>
          <w:tab w:val="num" w:pos="840"/>
        </w:tabs>
        <w:spacing w:before="100" w:beforeAutospacing="1" w:after="100" w:afterAutospacing="1"/>
        <w:ind w:left="840" w:hanging="360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2.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骨骼肌肉系統障礙：先天畸形、肌肉病變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tabs>
          <w:tab w:val="num" w:pos="840"/>
        </w:tabs>
        <w:spacing w:before="100" w:beforeAutospacing="1" w:after="100" w:afterAutospacing="1"/>
        <w:ind w:left="840" w:hanging="360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3.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遺傳代謝疾病：染色體突變（唐氏症）、甲狀腺分泌異常。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§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正常幼兒動作發展的過程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★粗動作里程碑：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四個月：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趴姿下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以前臂支撐達到頭部控制、翻身至側躺。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六個月：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趴姿下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以手部支撐達到頭部控制、翻身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至趴姿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七個月：無手部支撐可維持坐姿。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八個月：由坐姿轉換成四肢跪趴、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高跪姿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九個月：支撐站立、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扶物行走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（螃蟹走）、半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跪姿轉成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站姿。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十二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個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月：重心轉移、獨自行走。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十三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個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月：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兩手持物獨自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行走。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§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評估：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/>
          <w:kern w:val="0"/>
          <w:szCs w:val="24"/>
        </w:rPr>
        <w:lastRenderedPageBreak/>
        <w:t xml:space="preserve">1.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過去病史：出生史、是否動過手術？是否抽筋發作過？做過哪些檢查？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/>
          <w:kern w:val="0"/>
          <w:szCs w:val="24"/>
        </w:rPr>
        <w:t xml:space="preserve">2.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現在狀況：藥物治療情況、有否接受其他治療？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/>
          <w:kern w:val="0"/>
          <w:szCs w:val="24"/>
        </w:rPr>
        <w:t xml:space="preserve">3.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肌肉骨骼的評估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Chars="200" w:left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     a.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關節活動度與肌肉伸展度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Chars="200" w:left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     b.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畸形：功能性或結構性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4.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神經肌肉的評估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1260" w:hanging="36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a.</w:t>
      </w:r>
      <w:r w:rsidRPr="00EA21DA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張力：高張力、低張力、混合型、動作中有無張力不對稱的現象。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1260" w:hanging="36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b.</w:t>
      </w:r>
      <w:r w:rsidRPr="00EA21DA">
        <w:rPr>
          <w:rFonts w:ascii="Times New Roman" w:eastAsia="標楷體" w:hAnsi="Times New Roman" w:cs="Times New Roman"/>
          <w:kern w:val="0"/>
          <w:sz w:val="14"/>
          <w:szCs w:val="14"/>
        </w:rPr>
        <w:t xml:space="preserve">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反射活動：原始反射是否還存在、翻正與平衡反應有無遲緩現象。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  </w:t>
      </w:r>
      <w:r w:rsidRPr="00EA21DA">
        <w:rPr>
          <w:rFonts w:ascii="Times New Roman" w:eastAsia="標楷體" w:hAnsi="Times New Roman" w:cs="新細明體"/>
          <w:kern w:val="0"/>
          <w:szCs w:val="24"/>
        </w:rPr>
        <w:tab/>
        <w:t xml:space="preserve">5.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粗動作發展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Chars="300" w:left="720" w:firstLine="24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詳細紀錄各種動作發展的細節。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6.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細動作發展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480" w:firstLine="480"/>
        <w:rPr>
          <w:rFonts w:ascii="Calibri" w:eastAsia="新細明體" w:hAnsi="Calibri" w:cs="Times New Roman"/>
        </w:rPr>
      </w:pP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抓握能力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、雙手至中線活動、手眼協調</w:t>
      </w:r>
      <w:r w:rsidRPr="00EA21DA">
        <w:rPr>
          <w:rFonts w:ascii="Times New Roman" w:eastAsia="標楷體" w:hAnsi="Times New Roman" w:cs="新細明體"/>
          <w:kern w:val="0"/>
          <w:szCs w:val="24"/>
        </w:rPr>
        <w:t>…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等。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7.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功能評估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480"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包括移位、穿衣、飲食、溝通及其他日常活動的評估。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8.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感覺評估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480"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是否有聽覺、視覺受損，過度敏感、感覺遲鈍。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9.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認知的發展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480"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文獻顯示此與粗動作有時會有因果關係。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10.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語言發展與溝通能力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 </w:t>
      </w:r>
      <w:r w:rsidRPr="00EA21DA">
        <w:rPr>
          <w:rFonts w:ascii="Times New Roman" w:eastAsia="標楷體" w:hAnsi="Times New Roman" w:cs="新細明體"/>
          <w:kern w:val="0"/>
          <w:szCs w:val="24"/>
        </w:rPr>
        <w:tab/>
      </w:r>
      <w:r w:rsidRPr="00EA21DA">
        <w:rPr>
          <w:rFonts w:ascii="Times New Roman" w:eastAsia="標楷體" w:hAnsi="Times New Roman" w:cs="新細明體"/>
          <w:kern w:val="0"/>
          <w:szCs w:val="24"/>
        </w:rPr>
        <w:tab/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治療師可擬定治療模式與溝通方法。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§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列出問題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640" w:hanging="64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lastRenderedPageBreak/>
        <w:t xml:space="preserve">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找出目前動作發展達到的里程碑、落後的動作、是否有不正常的張力及動作型態</w:t>
      </w:r>
      <w:r w:rsidRPr="00EA21DA">
        <w:rPr>
          <w:rFonts w:ascii="Times New Roman" w:eastAsia="標楷體" w:hAnsi="Times New Roman" w:cs="新細明體"/>
          <w:kern w:val="0"/>
          <w:szCs w:val="24"/>
        </w:rPr>
        <w:t>…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…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等，及其造成的原因。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800" w:hanging="80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§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擬訂短期及長期治療目標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800" w:hanging="80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★短期為一個月內希達到的目標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★長期為半年內希達到的目標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§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擬訂治療計畫及施行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640" w:hanging="16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包括被動運動、牽拉運動、主動動作控制、放鬆運動、平衡訓練、行走訓練、擺位、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攜抱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、輔具建議</w:t>
      </w:r>
      <w:r w:rsidRPr="00EA21DA">
        <w:rPr>
          <w:rFonts w:ascii="Times New Roman" w:eastAsia="標楷體" w:hAnsi="Times New Roman" w:cs="新細明體"/>
          <w:kern w:val="0"/>
          <w:szCs w:val="24"/>
        </w:rPr>
        <w:t>…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…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等治療項目。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§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正確的擺位與錯誤的姿勢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★擺位的原則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tabs>
          <w:tab w:val="num" w:pos="660"/>
        </w:tabs>
        <w:spacing w:before="100" w:beforeAutospacing="1" w:after="100" w:afterAutospacing="1"/>
        <w:ind w:left="660" w:hanging="360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1.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每一天都需在不同的姿勢一段時間。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tabs>
          <w:tab w:val="num" w:pos="660"/>
        </w:tabs>
        <w:spacing w:before="100" w:beforeAutospacing="1" w:after="100" w:afterAutospacing="1"/>
        <w:ind w:left="660" w:hanging="360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2.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最好每</w:t>
      </w:r>
      <w:r w:rsidRPr="00EA21DA">
        <w:rPr>
          <w:rFonts w:ascii="Times New Roman" w:eastAsia="標楷體" w:hAnsi="Times New Roman" w:cs="新細明體"/>
          <w:kern w:val="0"/>
          <w:szCs w:val="24"/>
        </w:rPr>
        <w:t>45-60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分鐘就更換一次姿勢。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tabs>
          <w:tab w:val="num" w:pos="660"/>
        </w:tabs>
        <w:spacing w:before="100" w:beforeAutospacing="1" w:after="100" w:afterAutospacing="1"/>
        <w:ind w:left="660" w:hanging="360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3.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要給予最少的、有效的支持，來得到最大的功能。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tabs>
          <w:tab w:val="num" w:pos="660"/>
        </w:tabs>
        <w:spacing w:before="100" w:beforeAutospacing="1" w:after="100" w:afterAutospacing="1"/>
        <w:ind w:left="660" w:hanging="360"/>
        <w:rPr>
          <w:rFonts w:ascii="Calibri" w:eastAsia="新細明體" w:hAnsi="Calibri" w:cs="Times New Roman"/>
        </w:rPr>
      </w:pPr>
      <w:r w:rsidRPr="00EA21DA">
        <w:rPr>
          <w:rFonts w:ascii="Times New Roman" w:eastAsia="Times New Roman" w:hAnsi="Times New Roman" w:cs="Times New Roman"/>
          <w:kern w:val="0"/>
          <w:szCs w:val="24"/>
        </w:rPr>
        <w:t>4.</w:t>
      </w:r>
      <w:r w:rsidRPr="00EA21DA">
        <w:rPr>
          <w:rFonts w:ascii="Times New Roman" w:eastAsia="Times New Roman" w:hAnsi="Times New Roman" w:cs="Times New Roman"/>
          <w:kern w:val="0"/>
          <w:sz w:val="14"/>
          <w:szCs w:val="14"/>
        </w:rPr>
        <w:t xml:space="preserve">     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在執行一般的日常生活活動時，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如攜抱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、餵食、穿衣、洗澡、遊戲、睡覺、衛生訓練</w:t>
      </w:r>
      <w:r w:rsidRPr="00EA21DA">
        <w:rPr>
          <w:rFonts w:ascii="Times New Roman" w:eastAsia="標楷體" w:hAnsi="Times New Roman" w:cs="新細明體"/>
          <w:kern w:val="0"/>
          <w:szCs w:val="24"/>
        </w:rPr>
        <w:t>…</w:t>
      </w:r>
      <w:proofErr w:type="gramStart"/>
      <w:r w:rsidRPr="00EA21DA">
        <w:rPr>
          <w:rFonts w:ascii="Times New Roman" w:eastAsia="標楷體" w:hAnsi="Times New Roman" w:cs="新細明體"/>
          <w:kern w:val="0"/>
          <w:szCs w:val="24"/>
        </w:rPr>
        <w:t>…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等，都要注意小孩保持一個正確的姿勢，以避免不正常的動作型態與肌肉張力出現。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★錯誤的姿勢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60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仰臥：頭會習慣性歪向一邊；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背會反弓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60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側臥：頭往後頂；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背會反弓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60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坐：椅子高度太高時，腳踝僵直下垂（在學步車中以腳尖踢地前行）；跪坐。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  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    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站或走：兩腳交叉；墊腳尖。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 w:val="28"/>
          <w:szCs w:val="28"/>
        </w:rPr>
        <w:t>★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正確的擺位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60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俯臥：小孩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可趴在斜行坡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或枕頭上。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1560" w:hanging="96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側臥：可使用側臥器或枕頭，注意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不要使頭後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仰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造成反弓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；兩腳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間要夾一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枕頭。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1260" w:hanging="66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坐：</w:t>
      </w:r>
      <w:r w:rsidRPr="00EA21DA">
        <w:rPr>
          <w:rFonts w:ascii="Times New Roman" w:eastAsia="標楷體" w:hAnsi="標楷體" w:cs="新細明體"/>
          <w:kern w:val="0"/>
          <w:szCs w:val="24"/>
        </w:rPr>
        <w:tab/>
      </w:r>
      <w:r w:rsidRPr="00EA21DA">
        <w:rPr>
          <w:rFonts w:ascii="Times New Roman" w:eastAsia="標楷體" w:hAnsi="Times New Roman" w:cs="新細明體"/>
          <w:kern w:val="0"/>
          <w:szCs w:val="24"/>
        </w:rPr>
        <w:t>1.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三角椅：可控制肩胛骨、軀幹、骨盆、膝、踝關節於正確姿勢。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1260" w:hanging="102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     </w:t>
      </w:r>
      <w:r w:rsidRPr="00EA21DA">
        <w:rPr>
          <w:rFonts w:ascii="Times New Roman" w:eastAsia="標楷體" w:hAnsi="Times New Roman" w:cs="新細明體"/>
          <w:kern w:val="0"/>
          <w:szCs w:val="24"/>
        </w:rPr>
        <w:tab/>
        <w:t>2.</w:t>
      </w:r>
      <w:r w:rsidRPr="00EA21DA">
        <w:rPr>
          <w:rFonts w:ascii="Times New Roman" w:eastAsia="標楷體" w:hAnsi="Times New Roman" w:cs="新細明體" w:hint="eastAsia"/>
          <w:kern w:val="0"/>
          <w:szCs w:val="24"/>
        </w:rPr>
        <w:t>椅子：椅子的高度要使小孩的髖、膝保持</w:t>
      </w:r>
      <w:r w:rsidRPr="00EA21DA">
        <w:rPr>
          <w:rFonts w:ascii="Times New Roman" w:eastAsia="標楷體" w:hAnsi="Times New Roman" w:cs="新細明體"/>
          <w:kern w:val="0"/>
          <w:szCs w:val="24"/>
        </w:rPr>
        <w:t>90</w:t>
      </w:r>
      <w:r w:rsidRPr="00EA21DA">
        <w:rPr>
          <w:rFonts w:ascii="Times New Roman" w:eastAsia="標楷體" w:hAnsi="Times New Roman" w:cs="新細明體" w:hint="eastAsia"/>
          <w:kern w:val="0"/>
          <w:szCs w:val="24"/>
        </w:rPr>
        <w:t>度，腳板可踏平的姿勢，才算合適。桌面的高度，應該是當手臂放於桌面時，不會造成聳肩或肩下垂的現象。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1880" w:hanging="12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       3.</w:t>
      </w:r>
      <w:proofErr w:type="gramStart"/>
      <w:r w:rsidRPr="00EA21DA">
        <w:rPr>
          <w:rFonts w:ascii="Times New Roman" w:eastAsia="標楷體" w:hAnsi="Times New Roman" w:cs="新細明體" w:hint="eastAsia"/>
          <w:kern w:val="0"/>
          <w:szCs w:val="24"/>
        </w:rPr>
        <w:t>側坐</w:t>
      </w:r>
      <w:proofErr w:type="gramEnd"/>
      <w:r w:rsidRPr="00EA21DA">
        <w:rPr>
          <w:rFonts w:ascii="Times New Roman" w:eastAsia="標楷體" w:hAnsi="Times New Roman" w:cs="新細明體" w:hint="eastAsia"/>
          <w:kern w:val="0"/>
          <w:szCs w:val="24"/>
        </w:rPr>
        <w:t>：需要兩邊交替坐。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1880" w:hanging="12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       4.</w:t>
      </w:r>
      <w:proofErr w:type="gramStart"/>
      <w:r w:rsidRPr="00EA21DA">
        <w:rPr>
          <w:rFonts w:ascii="Times New Roman" w:eastAsia="標楷體" w:hAnsi="Times New Roman" w:cs="新細明體" w:hint="eastAsia"/>
          <w:kern w:val="0"/>
          <w:szCs w:val="24"/>
        </w:rPr>
        <w:t>盤坐</w:t>
      </w:r>
      <w:proofErr w:type="gramEnd"/>
      <w:r w:rsidRPr="00EA21DA">
        <w:rPr>
          <w:rFonts w:ascii="Times New Roman" w:eastAsia="標楷體" w:hAnsi="Times New Roman" w:cs="新細明體" w:hint="eastAsia"/>
          <w:kern w:val="0"/>
          <w:szCs w:val="24"/>
        </w:rPr>
        <w:t>、長坐：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需注意不可駝背。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1880" w:hanging="12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站：可使用俯臥站立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檯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。需注意兩腳要分開，髖、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膝要伸直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，腳板要踏平；手要拿到前方。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="1880" w:hanging="12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 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§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給家長們的話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 w:val="28"/>
          <w:szCs w:val="28"/>
        </w:rPr>
        <w:t>★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不要過度保護孩子，讓孩子依賴成性，缺乏練習動作及探索環境的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的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機會；不要過度嬌寵孩子，讓孩子為所欲為，在人格上產生偏差。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 w:val="28"/>
          <w:szCs w:val="28"/>
        </w:rPr>
        <w:t>★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我的孩子將來會走路嗎？根據文獻統計有三點重要的指標：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Chars="100" w:left="24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>1. 12-24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個月大時是否仍有原始反射的存在？</w:t>
      </w:r>
      <w:r w:rsidRPr="00EA21DA">
        <w:rPr>
          <w:rFonts w:ascii="Times New Roman" w:eastAsia="標楷體" w:hAnsi="標楷體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leftChars="100" w:left="24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2. 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愈早達到粗動作里程碑，機率愈高。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ind w:firstLine="24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3. </w:t>
      </w:r>
      <w:r w:rsidRPr="00EA21DA">
        <w:rPr>
          <w:rFonts w:ascii="Times New Roman" w:eastAsia="標楷體" w:hAnsi="Times New Roman" w:cs="新細明體" w:hint="eastAsia"/>
          <w:kern w:val="0"/>
          <w:szCs w:val="24"/>
        </w:rPr>
        <w:t>兩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歲時，能夠放手獨自坐著，達到功能性行走的機率最高。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35108" w:rsidRPr="00EA21DA" w:rsidRDefault="00C35108" w:rsidP="00C35108">
      <w:pPr>
        <w:widowControl/>
        <w:spacing w:before="100" w:beforeAutospacing="1" w:after="100" w:afterAutospacing="1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 w:val="28"/>
          <w:szCs w:val="28"/>
        </w:rPr>
        <w:t>★</w:t>
      </w:r>
      <w:r w:rsidRPr="00EA21DA">
        <w:rPr>
          <w:rFonts w:ascii="Times New Roman" w:eastAsia="標楷體" w:hAnsi="Times New Roman" w:cs="Times New Roman"/>
          <w:kern w:val="0"/>
          <w:sz w:val="14"/>
          <w:szCs w:val="14"/>
        </w:rPr>
        <w:t> 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坐學步車好嗎？對正常孩子或發展遲緩兒來說，學步車都只是方便照顧者的一件工具而已，對動作發展並沒有正面的效益，長時間坐在裡面反而會限制孩子發展出新的動作或減少力量的使用。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0723" w:rsidRDefault="00C35108" w:rsidP="00C35108">
      <w:r w:rsidRPr="00EA21DA">
        <w:rPr>
          <w:rFonts w:ascii="Times New Roman" w:eastAsia="標楷體" w:hAnsi="標楷體" w:cs="新細明體" w:hint="eastAsia"/>
          <w:kern w:val="0"/>
          <w:sz w:val="28"/>
          <w:szCs w:val="28"/>
        </w:rPr>
        <w:t>★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仔細觀察與耐心等待：孩子們的進步是緩慢的，在某些階段會停留很長一段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lastRenderedPageBreak/>
        <w:t>時間，甚至不再進步；但是若仔細觀察，仍然會發現細微的改變，不要輕易就灰心放棄了；相對的，家長們也應該與治療師充分溝通討論，才能持有適當的期待，而不會隨著孩子年齡的增長，失望愈來愈大。</w:t>
      </w:r>
      <w:bookmarkStart w:id="1" w:name="_GoBack"/>
      <w:bookmarkEnd w:id="1"/>
    </w:p>
    <w:sectPr w:rsidR="00970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08"/>
    <w:rsid w:val="00970723"/>
    <w:rsid w:val="00C3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E2262-36FA-4364-8ACE-862180AF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2016-03-09T10:55:00Z</dcterms:created>
  <dcterms:modified xsi:type="dcterms:W3CDTF">2016-03-09T10:55:00Z</dcterms:modified>
</cp:coreProperties>
</file>